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9B6" w:rsidRPr="005019B6" w:rsidRDefault="006E2FC9" w:rsidP="005019B6">
      <w:pPr>
        <w:autoSpaceDE w:val="0"/>
        <w:autoSpaceDN w:val="0"/>
        <w:adjustRightInd w:val="0"/>
        <w:spacing w:after="0" w:line="240" w:lineRule="auto"/>
        <w:jc w:val="center"/>
        <w:rPr>
          <w:rFonts w:ascii="MS Shell Dlg 2" w:hAnsi="MS Shell Dlg 2" w:cs="MS Shell Dlg 2"/>
          <w:sz w:val="40"/>
          <w:szCs w:val="40"/>
          <w:u w:val="single"/>
        </w:rPr>
      </w:pPr>
      <w:r w:rsidRPr="00C163E6">
        <w:rPr>
          <w:rFonts w:ascii="MS Shell Dlg 2" w:hAnsi="MS Shell Dlg 2" w:cs="MS Shell Dlg 2"/>
          <w:noProof/>
          <w:sz w:val="40"/>
          <w:szCs w:val="40"/>
          <w:u w:val="single"/>
        </w:rPr>
        <w:drawing>
          <wp:anchor distT="0" distB="0" distL="114300" distR="114300" simplePos="0" relativeHeight="251658240" behindDoc="0" locked="0" layoutInCell="1" allowOverlap="1" wp14:anchorId="771D5EE7" wp14:editId="3CCEB1C3">
            <wp:simplePos x="2181225" y="895350"/>
            <wp:positionH relativeFrom="margin">
              <wp:align>left</wp:align>
            </wp:positionH>
            <wp:positionV relativeFrom="margin">
              <wp:align>top</wp:align>
            </wp:positionV>
            <wp:extent cx="304800" cy="3048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pic:spPr>
                </pic:pic>
              </a:graphicData>
            </a:graphic>
          </wp:anchor>
        </w:drawing>
      </w:r>
      <w:r w:rsidR="007F3CA7">
        <w:rPr>
          <w:rFonts w:ascii="MS Shell Dlg 2" w:hAnsi="MS Shell Dlg 2" w:cs="MS Shell Dlg 2"/>
          <w:noProof/>
          <w:sz w:val="40"/>
          <w:szCs w:val="40"/>
          <w:u w:val="single"/>
        </w:rPr>
        <w:t>S</w:t>
      </w:r>
      <w:r w:rsidR="000176E2">
        <w:rPr>
          <w:rFonts w:ascii="MS Shell Dlg 2" w:hAnsi="MS Shell Dlg 2" w:cs="MS Shell Dlg 2"/>
          <w:noProof/>
          <w:sz w:val="40"/>
          <w:szCs w:val="40"/>
          <w:u w:val="single"/>
        </w:rPr>
        <w:t>able</w:t>
      </w:r>
      <w:r w:rsidR="007F3CA7">
        <w:rPr>
          <w:rFonts w:ascii="MS Shell Dlg 2" w:hAnsi="MS Shell Dlg 2" w:cs="MS Shell Dlg 2"/>
          <w:noProof/>
          <w:sz w:val="40"/>
          <w:szCs w:val="40"/>
          <w:u w:val="single"/>
        </w:rPr>
        <w:t xml:space="preserve"> correcteur</w:t>
      </w:r>
    </w:p>
    <w:p w:rsidR="00684433" w:rsidRPr="005019B6" w:rsidRDefault="00684433" w:rsidP="00BA2BBB">
      <w:pPr>
        <w:autoSpaceDE w:val="0"/>
        <w:autoSpaceDN w:val="0"/>
        <w:adjustRightInd w:val="0"/>
        <w:spacing w:line="240" w:lineRule="auto"/>
        <w:jc w:val="center"/>
        <w:rPr>
          <w:b/>
          <w:sz w:val="52"/>
          <w:szCs w:val="52"/>
          <w:u w:val="single"/>
        </w:rPr>
      </w:pPr>
    </w:p>
    <w:p w:rsidR="00D7782D" w:rsidRDefault="00D7782D" w:rsidP="00E341E3">
      <w:pPr>
        <w:spacing w:line="240" w:lineRule="auto"/>
      </w:pPr>
      <w:r w:rsidRPr="00D7782D">
        <w:rPr>
          <w:u w:val="single"/>
        </w:rPr>
        <w:t>Version logicielle :</w:t>
      </w:r>
      <w:r w:rsidR="00BA2BBB">
        <w:t xml:space="preserve">    </w:t>
      </w:r>
      <w:r w:rsidR="00513B6C">
        <w:t xml:space="preserve">Labo </w:t>
      </w:r>
      <w:proofErr w:type="gramStart"/>
      <w:r w:rsidR="00513B6C">
        <w:t>Béton</w:t>
      </w:r>
      <w:r w:rsidR="00C91564">
        <w:t xml:space="preserve">  version</w:t>
      </w:r>
      <w:proofErr w:type="gramEnd"/>
      <w:r w:rsidR="00C91564">
        <w:t xml:space="preserve">  </w:t>
      </w:r>
      <w:r w:rsidR="00513B6C">
        <w:t>2</w:t>
      </w:r>
      <w:r w:rsidR="00C91564">
        <w:t>.0</w:t>
      </w:r>
    </w:p>
    <w:p w:rsidR="00D7782D" w:rsidRPr="00D7782D" w:rsidRDefault="00D7782D" w:rsidP="00E341E3">
      <w:pPr>
        <w:spacing w:line="240" w:lineRule="auto"/>
        <w:rPr>
          <w:u w:val="single"/>
        </w:rPr>
      </w:pPr>
      <w:r w:rsidRPr="00D7782D">
        <w:rPr>
          <w:u w:val="single"/>
        </w:rPr>
        <w:t>Commentaire :</w:t>
      </w:r>
    </w:p>
    <w:p w:rsidR="007F3CA7" w:rsidRDefault="007F3CA7" w:rsidP="007F3CA7">
      <w:r>
        <w:t>Dans le cas où le sable renseigné agit comme un sable correcteur, vous devez cocher cet item.</w:t>
      </w:r>
    </w:p>
    <w:p w:rsidR="007F3CA7" w:rsidRDefault="007F3CA7" w:rsidP="007F3CA7">
      <w:r>
        <w:t>Sinon, le logiciel vous renverra une erreur lors du calcul du module de finesse en indiquant que ce sable n’est pas approprié pour la confection du béton.</w:t>
      </w:r>
    </w:p>
    <w:p w:rsidR="007F3CA7" w:rsidRDefault="007F3CA7" w:rsidP="007F3CA7">
      <w:r>
        <w:t xml:space="preserve">Il n’y a pas d’ordre pour le sable correcteur. Il peut aussi bien s’agir du sable n°1 que du sable n°2, voire des 2 sables si c’est la composition des deux qui assure </w:t>
      </w:r>
      <w:proofErr w:type="spellStart"/>
      <w:r>
        <w:t>mf</w:t>
      </w:r>
      <w:proofErr w:type="spellEnd"/>
      <w:r>
        <w:t xml:space="preserve"> = 2,5.</w:t>
      </w:r>
    </w:p>
    <w:p w:rsidR="007F3CA7" w:rsidRDefault="007F3CA7" w:rsidP="007F3CA7">
      <w:r>
        <w:t xml:space="preserve">Voir </w:t>
      </w:r>
      <w:r w:rsidRPr="006E114F">
        <w:rPr>
          <w:color w:val="0000FF"/>
        </w:rPr>
        <w:t>§</w:t>
      </w:r>
      <w:r w:rsidRPr="006E114F">
        <w:rPr>
          <w:color w:val="0000FF"/>
        </w:rPr>
        <w:fldChar w:fldCharType="begin"/>
      </w:r>
      <w:r w:rsidRPr="006E114F">
        <w:rPr>
          <w:color w:val="0000FF"/>
        </w:rPr>
        <w:instrText xml:space="preserve"> REF _Ref234318978 \r \h </w:instrText>
      </w:r>
      <w:r w:rsidRPr="006E114F">
        <w:rPr>
          <w:color w:val="0000FF"/>
        </w:rPr>
      </w:r>
      <w:r w:rsidRPr="006E114F">
        <w:rPr>
          <w:color w:val="0000FF"/>
        </w:rPr>
        <w:fldChar w:fldCharType="separate"/>
      </w:r>
      <w:r w:rsidRPr="006E114F">
        <w:rPr>
          <w:color w:val="0000FF"/>
        </w:rPr>
        <w:t>9.2.2</w:t>
      </w:r>
      <w:r w:rsidRPr="006E114F">
        <w:rPr>
          <w:color w:val="0000FF"/>
        </w:rPr>
        <w:fldChar w:fldCharType="end"/>
      </w:r>
      <w:r w:rsidRPr="006E114F">
        <w:rPr>
          <w:color w:val="0000FF"/>
        </w:rPr>
        <w:t xml:space="preserve"> - </w:t>
      </w:r>
      <w:r w:rsidRPr="006E114F">
        <w:rPr>
          <w:color w:val="0000FF"/>
        </w:rPr>
        <w:fldChar w:fldCharType="begin"/>
      </w:r>
      <w:r w:rsidRPr="006E114F">
        <w:rPr>
          <w:color w:val="0000FF"/>
        </w:rPr>
        <w:instrText xml:space="preserve"> REF _Ref234318978 \h </w:instrText>
      </w:r>
      <w:r w:rsidRPr="006E114F">
        <w:rPr>
          <w:color w:val="0000FF"/>
        </w:rPr>
      </w:r>
      <w:r w:rsidRPr="006E114F">
        <w:rPr>
          <w:color w:val="0000FF"/>
        </w:rPr>
        <w:fldChar w:fldCharType="separate"/>
      </w:r>
      <w:r w:rsidRPr="006E114F">
        <w:rPr>
          <w:color w:val="0000FF"/>
        </w:rPr>
        <w:t xml:space="preserve">Exemple n°1-2 – Béton courant 30 </w:t>
      </w:r>
      <w:proofErr w:type="spellStart"/>
      <w:r w:rsidRPr="006E114F">
        <w:rPr>
          <w:color w:val="0000FF"/>
        </w:rPr>
        <w:t>MPa</w:t>
      </w:r>
      <w:proofErr w:type="spellEnd"/>
      <w:r w:rsidRPr="006E114F">
        <w:rPr>
          <w:color w:val="0000FF"/>
        </w:rPr>
        <w:t xml:space="preserve">  2 sables et 2 gravillons avec amendement ENS</w:t>
      </w:r>
      <w:r w:rsidRPr="006E114F">
        <w:rPr>
          <w:color w:val="0000FF"/>
        </w:rPr>
        <w:fldChar w:fldCharType="end"/>
      </w:r>
      <w:r>
        <w:t xml:space="preserve"> dans le chapitre des exemples </w:t>
      </w:r>
      <w:r>
        <w:t xml:space="preserve">de la notice du logiciel </w:t>
      </w:r>
      <w:r>
        <w:t>pour un exemple de sable correcteur.</w:t>
      </w:r>
    </w:p>
    <w:p w:rsidR="007F3CA7" w:rsidRPr="007F3CA7" w:rsidRDefault="007F3CA7" w:rsidP="007F3CA7">
      <w:pPr>
        <w:rPr>
          <w:i/>
        </w:rPr>
      </w:pPr>
      <w:r w:rsidRPr="007F3CA7">
        <w:rPr>
          <w:i/>
        </w:rPr>
        <w:t>Rappel du rôle du sable correcteur :</w:t>
      </w:r>
    </w:p>
    <w:p w:rsidR="007F3CA7" w:rsidRDefault="007F3CA7" w:rsidP="007F3CA7">
      <w:r>
        <w:t>Dans le cas où le 1</w:t>
      </w:r>
      <w:r w:rsidRPr="00AA5F40">
        <w:rPr>
          <w:vertAlign w:val="superscript"/>
        </w:rPr>
        <w:t>ier</w:t>
      </w:r>
      <w:r>
        <w:t xml:space="preserve"> sable renseigné dispose d’un module de finesse éloigné de la valeur optimale qui est 2,5, vous avez la possibilité de rajouter un sable correcteur qui, vous permettra d’obtenir par le mélange des 2 sables, un module de finesse de 2,5.</w:t>
      </w:r>
    </w:p>
    <w:p w:rsidR="007F3CA7" w:rsidRDefault="007F3CA7" w:rsidP="007F3CA7">
      <w:r>
        <w:t xml:space="preserve">Voir </w:t>
      </w:r>
      <w:r w:rsidRPr="00AA5F40">
        <w:rPr>
          <w:color w:val="0000FF"/>
        </w:rPr>
        <w:t>§</w:t>
      </w:r>
      <w:r w:rsidRPr="00AA5F40">
        <w:rPr>
          <w:color w:val="0000FF"/>
        </w:rPr>
        <w:fldChar w:fldCharType="begin"/>
      </w:r>
      <w:r w:rsidRPr="00AA5F40">
        <w:rPr>
          <w:color w:val="0000FF"/>
        </w:rPr>
        <w:instrText xml:space="preserve"> REF _Ref219017246 \r \h </w:instrText>
      </w:r>
      <w:r w:rsidRPr="00AA5F40">
        <w:rPr>
          <w:color w:val="0000FF"/>
        </w:rPr>
      </w:r>
      <w:r w:rsidRPr="00AA5F40">
        <w:rPr>
          <w:color w:val="0000FF"/>
        </w:rPr>
        <w:fldChar w:fldCharType="separate"/>
      </w:r>
      <w:r w:rsidRPr="00AA5F40">
        <w:rPr>
          <w:color w:val="0000FF"/>
        </w:rPr>
        <w:t>2.4.2.2</w:t>
      </w:r>
      <w:r w:rsidRPr="00AA5F40">
        <w:rPr>
          <w:color w:val="0000FF"/>
        </w:rPr>
        <w:fldChar w:fldCharType="end"/>
      </w:r>
      <w:r w:rsidRPr="00AA5F40">
        <w:rPr>
          <w:color w:val="0000FF"/>
        </w:rPr>
        <w:t xml:space="preserve"> - </w:t>
      </w:r>
      <w:r w:rsidRPr="00AA5F40">
        <w:rPr>
          <w:color w:val="0000FF"/>
        </w:rPr>
        <w:fldChar w:fldCharType="begin"/>
      </w:r>
      <w:r w:rsidRPr="00AA5F40">
        <w:rPr>
          <w:color w:val="0000FF"/>
        </w:rPr>
        <w:instrText xml:space="preserve"> REF _Ref219017246 \h </w:instrText>
      </w:r>
      <w:r w:rsidRPr="00AA5F40">
        <w:rPr>
          <w:color w:val="0000FF"/>
        </w:rPr>
      </w:r>
      <w:r w:rsidRPr="00AA5F40">
        <w:rPr>
          <w:color w:val="0000FF"/>
        </w:rPr>
        <w:fldChar w:fldCharType="separate"/>
      </w:r>
      <w:r w:rsidRPr="00AA5F40">
        <w:rPr>
          <w:color w:val="0000FF"/>
        </w:rPr>
        <w:t>Module de finesse</w:t>
      </w:r>
      <w:r w:rsidRPr="00AA5F40">
        <w:rPr>
          <w:color w:val="0000FF"/>
        </w:rPr>
        <w:fldChar w:fldCharType="end"/>
      </w:r>
      <w:r>
        <w:t xml:space="preserve"> et </w:t>
      </w:r>
      <w:r w:rsidRPr="00AA5F40">
        <w:rPr>
          <w:color w:val="0000FF"/>
        </w:rPr>
        <w:t>§</w:t>
      </w:r>
      <w:r w:rsidRPr="00AA5F40">
        <w:rPr>
          <w:color w:val="0000FF"/>
        </w:rPr>
        <w:fldChar w:fldCharType="begin"/>
      </w:r>
      <w:r w:rsidRPr="00AA5F40">
        <w:rPr>
          <w:color w:val="0000FF"/>
        </w:rPr>
        <w:instrText xml:space="preserve"> REF _Ref218961072 \r \h </w:instrText>
      </w:r>
      <w:r w:rsidRPr="00AA5F40">
        <w:rPr>
          <w:color w:val="0000FF"/>
        </w:rPr>
      </w:r>
      <w:r w:rsidRPr="00AA5F40">
        <w:rPr>
          <w:color w:val="0000FF"/>
        </w:rPr>
        <w:fldChar w:fldCharType="separate"/>
      </w:r>
      <w:r w:rsidRPr="00AA5F40">
        <w:rPr>
          <w:color w:val="0000FF"/>
        </w:rPr>
        <w:t>2.4.2.3</w:t>
      </w:r>
      <w:r w:rsidRPr="00AA5F40">
        <w:rPr>
          <w:color w:val="0000FF"/>
        </w:rPr>
        <w:fldChar w:fldCharType="end"/>
      </w:r>
      <w:r w:rsidRPr="00AA5F40">
        <w:rPr>
          <w:color w:val="0000FF"/>
        </w:rPr>
        <w:t xml:space="preserve"> - </w:t>
      </w:r>
      <w:r w:rsidRPr="00AA5F40">
        <w:rPr>
          <w:color w:val="0000FF"/>
        </w:rPr>
        <w:fldChar w:fldCharType="begin"/>
      </w:r>
      <w:r w:rsidRPr="00AA5F40">
        <w:rPr>
          <w:color w:val="0000FF"/>
        </w:rPr>
        <w:instrText xml:space="preserve"> REF _Ref218961072 \h </w:instrText>
      </w:r>
      <w:r w:rsidRPr="00AA5F40">
        <w:rPr>
          <w:color w:val="0000FF"/>
        </w:rPr>
      </w:r>
      <w:r w:rsidRPr="00AA5F40">
        <w:rPr>
          <w:color w:val="0000FF"/>
        </w:rPr>
        <w:fldChar w:fldCharType="separate"/>
      </w:r>
      <w:r w:rsidRPr="00AA5F40">
        <w:rPr>
          <w:color w:val="0000FF"/>
        </w:rPr>
        <w:t>Mélange de 2 sables</w:t>
      </w:r>
      <w:r w:rsidRPr="00AA5F40">
        <w:rPr>
          <w:color w:val="0000FF"/>
        </w:rPr>
        <w:fldChar w:fldCharType="end"/>
      </w:r>
      <w:r>
        <w:t xml:space="preserve"> </w:t>
      </w:r>
      <w:r>
        <w:t>de la notice du logiciel</w:t>
      </w:r>
      <w:r>
        <w:t xml:space="preserve"> pour plus de détail.</w:t>
      </w:r>
    </w:p>
    <w:p w:rsidR="00D7782D" w:rsidRDefault="00D7782D" w:rsidP="00E341E3">
      <w:pPr>
        <w:spacing w:line="240" w:lineRule="auto"/>
      </w:pPr>
      <w:r w:rsidRPr="00D7782D">
        <w:rPr>
          <w:u w:val="single"/>
        </w:rPr>
        <w:t>Dernière mise à jour :</w:t>
      </w:r>
      <w:r w:rsidR="00B14982">
        <w:t xml:space="preserve"> </w:t>
      </w:r>
      <w:r w:rsidR="00BA2BBB">
        <w:t xml:space="preserve"> </w:t>
      </w:r>
      <w:r w:rsidR="00AA0DED">
        <w:t xml:space="preserve"> </w:t>
      </w:r>
      <w:r w:rsidR="007F3CA7">
        <w:t>9 juillet 2026</w:t>
      </w:r>
    </w:p>
    <w:p w:rsidR="00D7782D" w:rsidRPr="00D7782D" w:rsidRDefault="00D7782D" w:rsidP="00E341E3">
      <w:pPr>
        <w:spacing w:line="240" w:lineRule="auto"/>
        <w:rPr>
          <w:u w:val="single"/>
        </w:rPr>
      </w:pPr>
      <w:r w:rsidRPr="00D7782D">
        <w:rPr>
          <w:u w:val="single"/>
        </w:rPr>
        <w:t>Bibliographie :</w:t>
      </w:r>
    </w:p>
    <w:p w:rsidR="00513B6C" w:rsidRDefault="00513B6C" w:rsidP="00C163E6">
      <w:pPr>
        <w:pStyle w:val="Paragraphedeliste"/>
        <w:numPr>
          <w:ilvl w:val="0"/>
          <w:numId w:val="1"/>
        </w:numPr>
        <w:spacing w:line="240" w:lineRule="auto"/>
      </w:pPr>
      <w:r>
        <w:t>« Nouveau guide du béton et de ses constituants » - 8</w:t>
      </w:r>
      <w:r w:rsidRPr="005B5122">
        <w:rPr>
          <w:vertAlign w:val="superscript"/>
        </w:rPr>
        <w:t>ième</w:t>
      </w:r>
      <w:r>
        <w:t xml:space="preserve"> édition 1998 3</w:t>
      </w:r>
      <w:r w:rsidRPr="00D75B78">
        <w:rPr>
          <w:vertAlign w:val="superscript"/>
        </w:rPr>
        <w:t>ième</w:t>
      </w:r>
      <w:r>
        <w:t xml:space="preserve"> tirage 2007 – G. Dreux &amp; J. FESTA- Edition Eyrolles  </w:t>
      </w:r>
    </w:p>
    <w:p w:rsidR="007F3CA7" w:rsidRDefault="007F3CA7" w:rsidP="007F3CA7">
      <w:pPr>
        <w:pStyle w:val="Paragraphedeliste"/>
        <w:numPr>
          <w:ilvl w:val="0"/>
          <w:numId w:val="1"/>
        </w:numPr>
        <w:jc w:val="both"/>
      </w:pPr>
      <w:bookmarkStart w:id="0" w:name="Biblio_Baron_Ollivier"/>
      <w:r>
        <w:t xml:space="preserve">[3] </w:t>
      </w:r>
      <w:bookmarkEnd w:id="0"/>
      <w:r>
        <w:t xml:space="preserve">- </w:t>
      </w:r>
      <w:r w:rsidRPr="00DA113E">
        <w:t xml:space="preserve">« Les bétons – Bases et données pour leur formulation » écrit sous la direction de Jacques Baron et </w:t>
      </w:r>
      <w:proofErr w:type="spellStart"/>
      <w:r w:rsidRPr="00DA113E">
        <w:t>Jean-pierre</w:t>
      </w:r>
      <w:proofErr w:type="spellEnd"/>
      <w:r w:rsidRPr="00DA113E">
        <w:t xml:space="preserve"> Ollivier et paru aux Editions Eyrolles</w:t>
      </w:r>
      <w:r>
        <w:t xml:space="preserve"> 1996.</w:t>
      </w:r>
    </w:p>
    <w:p w:rsidR="007F3CA7" w:rsidRDefault="007F3CA7" w:rsidP="007F3CA7">
      <w:pPr>
        <w:pStyle w:val="Paragraphedeliste"/>
        <w:numPr>
          <w:ilvl w:val="0"/>
          <w:numId w:val="1"/>
        </w:numPr>
        <w:jc w:val="both"/>
      </w:pPr>
      <w:r>
        <w:t>[5] - TD – Formulation d’un béton ordinaire – ENS Paris Saclay – 15/10/2018</w:t>
      </w:r>
      <w:r w:rsidRPr="009A018A">
        <w:rPr>
          <w:rFonts w:ascii="Consolas" w:hAnsi="Consolas" w:cs="Consolas"/>
          <w:color w:val="A31515"/>
          <w:sz w:val="19"/>
          <w:szCs w:val="19"/>
        </w:rPr>
        <w:t xml:space="preserve"> </w:t>
      </w:r>
      <w:r>
        <w:t>(librement accessible sur Inter</w:t>
      </w:r>
      <w:r w:rsidRPr="009A018A">
        <w:t>net</w:t>
      </w:r>
      <w:r>
        <w:t>)</w:t>
      </w:r>
      <w:r w:rsidRPr="009A018A">
        <w:t>.</w:t>
      </w:r>
    </w:p>
    <w:p w:rsidR="009B79DA" w:rsidRDefault="00513B6C" w:rsidP="00DD0318">
      <w:pPr>
        <w:pStyle w:val="Paragraphedeliste"/>
        <w:numPr>
          <w:ilvl w:val="0"/>
          <w:numId w:val="1"/>
        </w:numPr>
        <w:spacing w:line="240" w:lineRule="auto"/>
        <w:jc w:val="both"/>
      </w:pPr>
      <w:bookmarkStart w:id="1" w:name="_GoBack"/>
      <w:bookmarkEnd w:id="1"/>
      <w:r>
        <w:t>NF EN 206-1 :2000 de Avril 2004 (tirage 2006-06) et son Annexe Nationale Française</w:t>
      </w:r>
    </w:p>
    <w:sectPr w:rsidR="009B79DA" w:rsidSect="00740B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S Shell Dlg 2">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FE2182E"/>
    <w:lvl w:ilvl="0">
      <w:numFmt w:val="bullet"/>
      <w:lvlText w:val="*"/>
      <w:lvlJc w:val="left"/>
    </w:lvl>
  </w:abstractNum>
  <w:abstractNum w:abstractNumId="1" w15:restartNumberingAfterBreak="0">
    <w:nsid w:val="0D88426A"/>
    <w:multiLevelType w:val="hybridMultilevel"/>
    <w:tmpl w:val="2D6AA8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3F58B6"/>
    <w:multiLevelType w:val="hybridMultilevel"/>
    <w:tmpl w:val="30047D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360319"/>
    <w:multiLevelType w:val="hybridMultilevel"/>
    <w:tmpl w:val="1A742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553190"/>
    <w:multiLevelType w:val="hybridMultilevel"/>
    <w:tmpl w:val="3CC836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5463BF"/>
    <w:multiLevelType w:val="hybridMultilevel"/>
    <w:tmpl w:val="CC765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4401CA"/>
    <w:multiLevelType w:val="hybridMultilevel"/>
    <w:tmpl w:val="836AEF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346563"/>
    <w:multiLevelType w:val="hybridMultilevel"/>
    <w:tmpl w:val="B3F6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2974F3"/>
    <w:multiLevelType w:val="hybridMultilevel"/>
    <w:tmpl w:val="DA602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5B4A08"/>
    <w:multiLevelType w:val="hybridMultilevel"/>
    <w:tmpl w:val="26A4D4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AB4B10"/>
    <w:multiLevelType w:val="hybridMultilevel"/>
    <w:tmpl w:val="BB3EE4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66B43F1"/>
    <w:multiLevelType w:val="hybridMultilevel"/>
    <w:tmpl w:val="5428EC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13A4AFC"/>
    <w:multiLevelType w:val="hybridMultilevel"/>
    <w:tmpl w:val="D146F1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78D61D8"/>
    <w:multiLevelType w:val="hybridMultilevel"/>
    <w:tmpl w:val="CBFAE1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D20157"/>
    <w:multiLevelType w:val="hybridMultilevel"/>
    <w:tmpl w:val="44C22F12"/>
    <w:lvl w:ilvl="0" w:tplc="7278DA8C">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5" w15:restartNumberingAfterBreak="0">
    <w:nsid w:val="76EC0FB0"/>
    <w:multiLevelType w:val="hybridMultilevel"/>
    <w:tmpl w:val="1CF2F8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D3C4492"/>
    <w:multiLevelType w:val="hybridMultilevel"/>
    <w:tmpl w:val="97C83A9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0"/>
    <w:lvlOverride w:ilvl="0">
      <w:lvl w:ilvl="0">
        <w:numFmt w:val="bullet"/>
        <w:lvlText w:val=""/>
        <w:legacy w:legacy="1" w:legacySpace="50" w:legacyIndent="0"/>
        <w:lvlJc w:val="left"/>
        <w:pPr>
          <w:ind w:left="300" w:firstLine="0"/>
        </w:pPr>
        <w:rPr>
          <w:rFonts w:ascii="Symbol" w:hAnsi="Symbol" w:hint="default"/>
        </w:rPr>
      </w:lvl>
    </w:lvlOverride>
  </w:num>
  <w:num w:numId="4">
    <w:abstractNumId w:val="6"/>
  </w:num>
  <w:num w:numId="5">
    <w:abstractNumId w:val="1"/>
  </w:num>
  <w:num w:numId="6">
    <w:abstractNumId w:val="5"/>
  </w:num>
  <w:num w:numId="7">
    <w:abstractNumId w:val="10"/>
  </w:num>
  <w:num w:numId="8">
    <w:abstractNumId w:val="12"/>
  </w:num>
  <w:num w:numId="9">
    <w:abstractNumId w:val="4"/>
  </w:num>
  <w:num w:numId="10">
    <w:abstractNumId w:val="8"/>
  </w:num>
  <w:num w:numId="11">
    <w:abstractNumId w:val="9"/>
  </w:num>
  <w:num w:numId="12">
    <w:abstractNumId w:val="11"/>
  </w:num>
  <w:num w:numId="13">
    <w:abstractNumId w:val="13"/>
  </w:num>
  <w:num w:numId="14">
    <w:abstractNumId w:val="14"/>
  </w:num>
  <w:num w:numId="15">
    <w:abstractNumId w:val="15"/>
  </w:num>
  <w:num w:numId="16">
    <w:abstractNumId w:val="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1E3"/>
    <w:rsid w:val="000176E2"/>
    <w:rsid w:val="00025571"/>
    <w:rsid w:val="00033C0C"/>
    <w:rsid w:val="00092135"/>
    <w:rsid w:val="00093CF0"/>
    <w:rsid w:val="000F205A"/>
    <w:rsid w:val="000F5E43"/>
    <w:rsid w:val="00113421"/>
    <w:rsid w:val="0016643A"/>
    <w:rsid w:val="0020662B"/>
    <w:rsid w:val="002528E7"/>
    <w:rsid w:val="00285019"/>
    <w:rsid w:val="00296481"/>
    <w:rsid w:val="002A3FC4"/>
    <w:rsid w:val="002F0BE2"/>
    <w:rsid w:val="00356AC9"/>
    <w:rsid w:val="005019B6"/>
    <w:rsid w:val="00513B6C"/>
    <w:rsid w:val="005621A4"/>
    <w:rsid w:val="005A4BAF"/>
    <w:rsid w:val="005E7160"/>
    <w:rsid w:val="00606B1F"/>
    <w:rsid w:val="0062461C"/>
    <w:rsid w:val="00684433"/>
    <w:rsid w:val="006E2FC9"/>
    <w:rsid w:val="0070207B"/>
    <w:rsid w:val="00723814"/>
    <w:rsid w:val="00740B0C"/>
    <w:rsid w:val="00773FFF"/>
    <w:rsid w:val="00780844"/>
    <w:rsid w:val="007E4335"/>
    <w:rsid w:val="007F3CA7"/>
    <w:rsid w:val="008E3454"/>
    <w:rsid w:val="008F6CB7"/>
    <w:rsid w:val="00902D2C"/>
    <w:rsid w:val="00923F20"/>
    <w:rsid w:val="009306D1"/>
    <w:rsid w:val="00946577"/>
    <w:rsid w:val="0096305B"/>
    <w:rsid w:val="00983E27"/>
    <w:rsid w:val="009B79DA"/>
    <w:rsid w:val="00A85F1B"/>
    <w:rsid w:val="00AA0DED"/>
    <w:rsid w:val="00AC4C8B"/>
    <w:rsid w:val="00AC795F"/>
    <w:rsid w:val="00B14982"/>
    <w:rsid w:val="00BA2BBB"/>
    <w:rsid w:val="00BB2E99"/>
    <w:rsid w:val="00BD179B"/>
    <w:rsid w:val="00BE392A"/>
    <w:rsid w:val="00BE5290"/>
    <w:rsid w:val="00C007D4"/>
    <w:rsid w:val="00C163E6"/>
    <w:rsid w:val="00C91564"/>
    <w:rsid w:val="00CB2066"/>
    <w:rsid w:val="00CF7A2F"/>
    <w:rsid w:val="00D447BA"/>
    <w:rsid w:val="00D7202E"/>
    <w:rsid w:val="00D7782D"/>
    <w:rsid w:val="00D8287A"/>
    <w:rsid w:val="00E32643"/>
    <w:rsid w:val="00E341E3"/>
    <w:rsid w:val="00E90F9F"/>
    <w:rsid w:val="00EC1B70"/>
    <w:rsid w:val="00ED1818"/>
    <w:rsid w:val="00EE2A24"/>
    <w:rsid w:val="00EF1D5B"/>
    <w:rsid w:val="00F060F6"/>
    <w:rsid w:val="00F91A4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11EDD"/>
  <w15:docId w15:val="{5A9ED1EB-C8A6-41D4-97E4-7B8CBE6A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782D"/>
    <w:pPr>
      <w:ind w:left="720"/>
      <w:contextualSpacing/>
    </w:pPr>
  </w:style>
  <w:style w:type="paragraph" w:styleId="Textedebulles">
    <w:name w:val="Balloon Text"/>
    <w:basedOn w:val="Normal"/>
    <w:link w:val="TextedebullesCar"/>
    <w:uiPriority w:val="99"/>
    <w:semiHidden/>
    <w:unhideWhenUsed/>
    <w:rsid w:val="00B1498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14982"/>
    <w:rPr>
      <w:rFonts w:ascii="Tahoma" w:hAnsi="Tahoma" w:cs="Tahoma"/>
      <w:sz w:val="16"/>
      <w:szCs w:val="16"/>
    </w:rPr>
  </w:style>
  <w:style w:type="paragraph" w:styleId="Lgende">
    <w:name w:val="caption"/>
    <w:basedOn w:val="Normal"/>
    <w:next w:val="Normal"/>
    <w:uiPriority w:val="35"/>
    <w:unhideWhenUsed/>
    <w:qFormat/>
    <w:rsid w:val="00780844"/>
    <w:pPr>
      <w:spacing w:line="240" w:lineRule="auto"/>
    </w:pPr>
    <w:rPr>
      <w:b/>
      <w:bCs/>
      <w:color w:val="4F81BD" w:themeColor="accent1"/>
      <w:sz w:val="18"/>
      <w:szCs w:val="18"/>
    </w:rPr>
  </w:style>
  <w:style w:type="character" w:styleId="Lienhypertexte">
    <w:name w:val="Hyperlink"/>
    <w:basedOn w:val="Policepardfaut"/>
    <w:uiPriority w:val="99"/>
    <w:rsid w:val="000176E2"/>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279</Words>
  <Characters>1538</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fux</dc:creator>
  <cp:lastModifiedBy>p_dejean@orange.fr</cp:lastModifiedBy>
  <cp:revision>6</cp:revision>
  <dcterms:created xsi:type="dcterms:W3CDTF">2025-11-16T14:41:00Z</dcterms:created>
  <dcterms:modified xsi:type="dcterms:W3CDTF">2026-07-09T07:56:00Z</dcterms:modified>
</cp:coreProperties>
</file>